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45FF" w14:textId="07D534B7" w:rsidR="004F3222" w:rsidRPr="000B55B4" w:rsidRDefault="008232AE" w:rsidP="008232AE">
      <w:pPr>
        <w:jc w:val="center"/>
        <w:rPr>
          <w:b/>
          <w:bCs/>
          <w:sz w:val="28"/>
          <w:szCs w:val="28"/>
        </w:rPr>
      </w:pPr>
      <w:r w:rsidRPr="000B55B4">
        <w:rPr>
          <w:b/>
          <w:bCs/>
          <w:noProof/>
          <w:sz w:val="28"/>
          <w:szCs w:val="28"/>
        </w:rPr>
        <w:drawing>
          <wp:anchor distT="0" distB="0" distL="114300" distR="114300" simplePos="0" relativeHeight="251658240" behindDoc="0" locked="0" layoutInCell="1" allowOverlap="1" wp14:anchorId="483A231E" wp14:editId="34BBBD57">
            <wp:simplePos x="0" y="0"/>
            <wp:positionH relativeFrom="margin">
              <wp:align>left</wp:align>
            </wp:positionH>
            <wp:positionV relativeFrom="page">
              <wp:posOffset>290250</wp:posOffset>
            </wp:positionV>
            <wp:extent cx="1490472" cy="585216"/>
            <wp:effectExtent l="0" t="0" r="0" b="0"/>
            <wp:wrapTopAndBottom/>
            <wp:docPr id="7281135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B4">
        <w:rPr>
          <w:b/>
          <w:bCs/>
          <w:noProof/>
          <w:sz w:val="28"/>
          <w:szCs w:val="28"/>
        </w:rPr>
        <w:drawing>
          <wp:anchor distT="0" distB="0" distL="114300" distR="114300" simplePos="0" relativeHeight="251659264" behindDoc="0" locked="0" layoutInCell="1" allowOverlap="1" wp14:anchorId="672D6B0B" wp14:editId="025F54C6">
            <wp:simplePos x="0" y="0"/>
            <wp:positionH relativeFrom="margin">
              <wp:align>right</wp:align>
            </wp:positionH>
            <wp:positionV relativeFrom="page">
              <wp:posOffset>132218</wp:posOffset>
            </wp:positionV>
            <wp:extent cx="1326411" cy="950976"/>
            <wp:effectExtent l="0" t="0" r="7620" b="1905"/>
            <wp:wrapTopAndBottom/>
            <wp:docPr id="15896218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411" cy="950976"/>
                    </a:xfrm>
                    <a:prstGeom prst="rect">
                      <a:avLst/>
                    </a:prstGeom>
                    <a:noFill/>
                    <a:ln>
                      <a:noFill/>
                    </a:ln>
                  </pic:spPr>
                </pic:pic>
              </a:graphicData>
            </a:graphic>
            <wp14:sizeRelH relativeFrom="page">
              <wp14:pctWidth>0</wp14:pctWidth>
            </wp14:sizeRelH>
            <wp14:sizeRelV relativeFrom="page">
              <wp14:pctHeight>0</wp14:pctHeight>
            </wp14:sizeRelV>
          </wp:anchor>
        </w:drawing>
      </w:r>
      <w:r w:rsidR="004F3222" w:rsidRPr="000B55B4">
        <w:rPr>
          <w:b/>
          <w:bCs/>
          <w:sz w:val="28"/>
          <w:szCs w:val="28"/>
        </w:rPr>
        <w:t>Déterminer la conception du système de surveillance et la stratégie de collecte des données</w:t>
      </w:r>
    </w:p>
    <w:p w14:paraId="324F9037" w14:textId="32380F8B" w:rsidR="004F3222" w:rsidRDefault="004F3222" w:rsidP="004F3222">
      <w:pPr>
        <w:jc w:val="both"/>
      </w:pPr>
      <w:r>
        <w:t xml:space="preserve">Comme défini dans l'introduction, un </w:t>
      </w:r>
      <w:r w:rsidRPr="00971439">
        <w:t>SMSS</w:t>
      </w:r>
      <w:r>
        <w:t xml:space="preserve"> est basé sur un échantillonnage, mais nécessite un système de collecte de données continu afin de répondre au besoin de données en temps quasi réel sur la mortalité et les causes de décès, qui sont utilisées pour le suivi des progrès. Afin de réfléchir à la conception appropriée qui permettrait d'obtenir des données en temps réel, après l'examen de la situation (décrit à l'étape 2), plusieurs options doivent être envisagées.</w:t>
      </w:r>
    </w:p>
    <w:p w14:paraId="4DD1940C" w14:textId="419740A8" w:rsidR="004F3222" w:rsidRDefault="004F3222" w:rsidP="004F3222">
      <w:pPr>
        <w:pStyle w:val="ListParagraph"/>
        <w:numPr>
          <w:ilvl w:val="0"/>
          <w:numId w:val="3"/>
        </w:numPr>
        <w:jc w:val="both"/>
        <w:rPr>
          <w:sz w:val="22"/>
          <w:szCs w:val="22"/>
        </w:rPr>
      </w:pPr>
      <w:r w:rsidRPr="4323AA96">
        <w:rPr>
          <w:b/>
          <w:bCs/>
          <w:sz w:val="22"/>
          <w:szCs w:val="22"/>
        </w:rPr>
        <w:t>Le recours exclusif aux systèmes d'état civil et de statistiques démographiques existants</w:t>
      </w:r>
      <w:r w:rsidRPr="4323AA96">
        <w:rPr>
          <w:sz w:val="22"/>
          <w:szCs w:val="22"/>
        </w:rPr>
        <w:t>, combiné aux données du</w:t>
      </w:r>
      <w:r w:rsidR="00731E36">
        <w:rPr>
          <w:sz w:val="22"/>
          <w:szCs w:val="22"/>
        </w:rPr>
        <w:t xml:space="preserve"> </w:t>
      </w:r>
      <w:r w:rsidR="00731E36" w:rsidRPr="00731E36">
        <w:rPr>
          <w:sz w:val="22"/>
          <w:szCs w:val="22"/>
        </w:rPr>
        <w:t>système d'information sanitaire de routine</w:t>
      </w:r>
      <w:r w:rsidRPr="4323AA96">
        <w:rPr>
          <w:sz w:val="22"/>
          <w:szCs w:val="22"/>
        </w:rPr>
        <w:t xml:space="preserve"> </w:t>
      </w:r>
      <w:r w:rsidR="00731E36">
        <w:rPr>
          <w:sz w:val="22"/>
          <w:szCs w:val="22"/>
        </w:rPr>
        <w:t>(RHIS)</w:t>
      </w:r>
      <w:r w:rsidRPr="4323AA96">
        <w:rPr>
          <w:sz w:val="22"/>
          <w:szCs w:val="22"/>
        </w:rPr>
        <w:t>, doit être soigneusement examiné et discuté. Toutefois, cette option sera probablement écartée, car les CRVS et les RHIS souffrent de problèmes majeurs en termes d'exhaustivité et de représentativité, et il faudra davantage de ressources et de temps pour atteindre le niveau de fonctionnalité nécessaire à l'obtention de données précises sur la mortalité aux niveaux national et infranational. Cependant, les autres options envisagées doivent inclure une discussion sur la manière dont elles pourraient s'appuyer sur ces systèmes existants, ou être liées à ceux-ci et les renforcer.</w:t>
      </w:r>
    </w:p>
    <w:p w14:paraId="5ADC3AB6" w14:textId="77777777" w:rsidR="004F3222" w:rsidRDefault="004F3222" w:rsidP="004F3222">
      <w:pPr>
        <w:pStyle w:val="ListParagraph"/>
        <w:ind w:left="360"/>
        <w:rPr>
          <w:sz w:val="22"/>
          <w:szCs w:val="22"/>
        </w:rPr>
      </w:pPr>
    </w:p>
    <w:p w14:paraId="716B7D43" w14:textId="77777777" w:rsidR="004F3222" w:rsidRDefault="004F3222" w:rsidP="004F3222">
      <w:pPr>
        <w:pStyle w:val="ListParagraph"/>
        <w:numPr>
          <w:ilvl w:val="0"/>
          <w:numId w:val="3"/>
        </w:numPr>
        <w:jc w:val="both"/>
        <w:rPr>
          <w:sz w:val="22"/>
          <w:szCs w:val="22"/>
        </w:rPr>
      </w:pPr>
      <w:r w:rsidRPr="5B8C5233">
        <w:rPr>
          <w:b/>
          <w:bCs/>
          <w:sz w:val="22"/>
          <w:szCs w:val="22"/>
        </w:rPr>
        <w:t xml:space="preserve">Enquêtes annuelles répétées sur la mortalité des ménages : </w:t>
      </w:r>
      <w:r w:rsidRPr="5B8C5233">
        <w:rPr>
          <w:sz w:val="22"/>
          <w:szCs w:val="22"/>
        </w:rPr>
        <w:t>cette approche consiste à mener une enquête nationale sur la mortalité à intervalles réguliers ne dépassant pas douze mois. L'enquête permettra d'identifier les naissances et les décès survenus au cours des douze derniers mois, de procéder à des autopsies verbales des décès identifiés et de collecter des informations sur la population par âge et par sexe. Le même échantillon peut être visité chaque année dans le cadre d'une stratégie d'enquête par panel, ou un échantillon différent peut être tiré à chaque fois. Si cette approche peut fournir des données raisonnables, elle présente plusieurs limites. Elle est coûteuse, car une enquête rigoureuse nécessite une cartographie minutieuse des grappes sélectionnées, suivie de l'enquête. Elle est souvent plus descendante, car elle implique moins les communautés dans une collaboration continue. Le risque de générer des estimations qui ne sont pas en temps quasi réel est élevé et dépend fortement de la rapidité avec laquelle l'équipe chargée des données travaille. En outre, elle n'établit pas un échantillon stable de communautés sur lequel s'appuyer pour collecter rapidement des données auprès de la communauté et ne permet pas de surveiller en continu les communautés pour détecter les épidémies et les pandémies.</w:t>
      </w:r>
    </w:p>
    <w:p w14:paraId="43B16E99" w14:textId="77777777" w:rsidR="004F3222" w:rsidRPr="004F3222" w:rsidRDefault="004F3222" w:rsidP="004F3222">
      <w:pPr>
        <w:pStyle w:val="ListParagraph"/>
        <w:rPr>
          <w:sz w:val="22"/>
          <w:szCs w:val="22"/>
        </w:rPr>
      </w:pPr>
    </w:p>
    <w:p w14:paraId="43B62196" w14:textId="3D7FF875" w:rsidR="004F3222" w:rsidRPr="004F3222" w:rsidRDefault="004F3222" w:rsidP="004F3222">
      <w:pPr>
        <w:pStyle w:val="ListParagraph"/>
        <w:numPr>
          <w:ilvl w:val="0"/>
          <w:numId w:val="3"/>
        </w:numPr>
        <w:jc w:val="both"/>
        <w:rPr>
          <w:sz w:val="22"/>
          <w:szCs w:val="22"/>
        </w:rPr>
      </w:pPr>
      <w:r w:rsidRPr="004F3222">
        <w:rPr>
          <w:sz w:val="22"/>
          <w:szCs w:val="22"/>
        </w:rPr>
        <w:t xml:space="preserve">Une autre approche, plus populaire, consiste à mettre en place une </w:t>
      </w:r>
      <w:r w:rsidRPr="004F3222">
        <w:rPr>
          <w:b/>
          <w:bCs/>
          <w:sz w:val="22"/>
          <w:szCs w:val="22"/>
        </w:rPr>
        <w:t>surveillance continue des événements vitaux dans des groupes géographiques sélectionnés au hasard</w:t>
      </w:r>
      <w:r w:rsidRPr="004F3222">
        <w:rPr>
          <w:sz w:val="22"/>
          <w:szCs w:val="22"/>
        </w:rPr>
        <w:t xml:space="preserve">. La sélection des groupes doit être effectuée de manière rigoureuse à partir d'une base d'échantillonnage complète afin de garantir la représentativité au niveau national et dans les zones sous-nationales </w:t>
      </w:r>
      <w:r w:rsidRPr="004F3222">
        <w:rPr>
          <w:sz w:val="22"/>
          <w:szCs w:val="22"/>
        </w:rPr>
        <w:lastRenderedPageBreak/>
        <w:t xml:space="preserve">définies. Au sein de chaque groupe géographique, un travailleur communautaire résident sera </w:t>
      </w:r>
      <w:proofErr w:type="gramStart"/>
      <w:r w:rsidRPr="004F3222">
        <w:rPr>
          <w:sz w:val="22"/>
          <w:szCs w:val="22"/>
        </w:rPr>
        <w:t>recruté</w:t>
      </w:r>
      <w:proofErr w:type="gramEnd"/>
      <w:r w:rsidRPr="004F3222">
        <w:rPr>
          <w:sz w:val="22"/>
          <w:szCs w:val="22"/>
        </w:rPr>
        <w:t xml:space="preserve">, formé et équipé pour surveiller la communauté par le biais de visites fréquentes et actives des ménages et pour signaler les événements vitaux tels que les grossesses, les issues de grossesse et les décès. Les agents communautaires collaboreront avec les dirigeants communautaires afin de garantir </w:t>
      </w:r>
      <w:r w:rsidRPr="004F3222">
        <w:t>l'exhaustivité des rapports sur les événements vitaux, l'inscription des nouveaux ménages et la liaison avec les agents de santé communautaires. Les familles des personnes décédées identifiées font l'objet d'un suivi sous forme d'entretiens verbaux et d'autopsies sociales afin de déterminer la cause du décès. Une solution numérique et informatique peut être mise en œuvre pour faciliter la saisie et le transfert des données et permettre un accès en temps quasi réel aux données à des fins d'analyse et de génération de résultats. Afin de garantir l'exhaustivité de l'enregistrement des événements, les agents communautaires peuvent être chargés de procéder à une récupération rétrospective des données sur les événements sur une base annuelle. La récupération des données peut être effectuée par une équipe externe si les ressources sont disponibles, ce qui fait du système un système à double enregistrement. Dans un court laps de temps (environ un mois), les collecteurs de données se rendront dans chaque ménage d'un groupe pour recueillir des données sur les naissances et les décès survenus au cours des douze derniers mois. Ces événements seront ensuite mis en correspondance avec les données d'événements rapportées par les agents communautaires et analysés afin d'évaluer le niveau d'exhaustivité des rapports communautaires. Ces données sont analysées ensemble afin d'obtenir des estimations plus précises de la mortalité annuelle. Tous les 2 à 3 ans, il serait également nécessaire de procéder à un recensement complet de tous les clusters afin de mettre à jour la population par âge et par sexe. Au cours de cette mise à jour, des données rétrospectives sur les naissances et les décès seraient également collectées afin d'évaluer plus en détail les données de surveillance.</w:t>
      </w:r>
    </w:p>
    <w:p w14:paraId="1C29965D" w14:textId="77777777" w:rsidR="004F3222" w:rsidRPr="004F3222" w:rsidRDefault="004F3222" w:rsidP="004F3222">
      <w:pPr>
        <w:spacing w:after="0"/>
      </w:pPr>
    </w:p>
    <w:p w14:paraId="3D335B86" w14:textId="724BBCE2" w:rsidR="004F3222" w:rsidRPr="00731E36" w:rsidRDefault="004F3222" w:rsidP="5B8C5233">
      <w:pPr>
        <w:jc w:val="both"/>
      </w:pPr>
      <w:r w:rsidRPr="00731E36">
        <w:t xml:space="preserve">Les grappes sous surveillance peuvent être facilement reliées au CRVS existant afin de renforcer l'exhaustivité de ce dernier. Elles peuvent également être reliées aux établissements de santé les plus proches. </w:t>
      </w:r>
      <w:r w:rsidR="6CEDD51A" w:rsidRPr="00731E36">
        <w:t xml:space="preserve">Bien que cette </w:t>
      </w:r>
      <w:r w:rsidRPr="00731E36">
        <w:t xml:space="preserve">approche </w:t>
      </w:r>
      <w:r w:rsidR="0182C558" w:rsidRPr="00731E36">
        <w:t>permette</w:t>
      </w:r>
      <w:r w:rsidRPr="00731E36">
        <w:t xml:space="preserve"> de mettre en place un agent permanent au sein de chaque communauté sélectionnée et d'impliquer les communautés de manière continue, elle </w:t>
      </w:r>
      <w:r w:rsidR="5BE2B856" w:rsidRPr="00731E36">
        <w:t>doit</w:t>
      </w:r>
      <w:r w:rsidRPr="00731E36">
        <w:t xml:space="preserve"> également </w:t>
      </w:r>
      <w:r w:rsidR="211F3C28" w:rsidRPr="00731E36">
        <w:t xml:space="preserve">faire face </w:t>
      </w:r>
      <w:r w:rsidRPr="00731E36">
        <w:t xml:space="preserve">à de nombreux défis. Elle nécessite des agents communautaires motivés, une identification claire des limites des grappes géographiques et un soutien continu et actif de tous les collecteurs de données. Un autre défi majeur réside dans la gestion des identifiants individuels des ménages et la mise en correspondance des événements au fil du temps. L'utilisation des noms des chefs de famille et d'autres caractéristiques des ménages facilite souvent cette mise en correspondance. Cependant, en établissant un échantillon continu </w:t>
      </w:r>
      <w:r w:rsidRPr="00731E36">
        <w:t xml:space="preserve">de groupes </w:t>
      </w:r>
      <w:r w:rsidRPr="00731E36">
        <w:lastRenderedPageBreak/>
        <w:t>géographiques, il est facile de mobiliser ces groupes pour la collecte de données supplémentaires, la surveillance des épidémies et la surveillance complémentaire d'autres programmes. Cette approche est mise en œuvre par la plupart des pays qui appliquent actuellement un SMSS.</w:t>
      </w:r>
    </w:p>
    <w:p w14:paraId="764AE9F6" w14:textId="77777777" w:rsidR="004F3222" w:rsidRPr="00731E36" w:rsidRDefault="004F3222" w:rsidP="008A6F38">
      <w:pPr>
        <w:jc w:val="both"/>
      </w:pPr>
      <w:r w:rsidRPr="00731E36">
        <w:t>Le présent manuel part du principe que cette approche est choisie pour le SMSS. Toutes les étapes décrites se réfèrent à cette option.</w:t>
      </w:r>
    </w:p>
    <w:p w14:paraId="148C4C9D" w14:textId="77777777" w:rsidR="004F3222" w:rsidRPr="00731E36" w:rsidRDefault="004F3222" w:rsidP="008A6F38">
      <w:pPr>
        <w:jc w:val="both"/>
      </w:pPr>
      <w:r w:rsidRPr="00731E36">
        <w:t>En résumé, l'approche stratégique de surveillance et de collecte de données implique :</w:t>
      </w:r>
    </w:p>
    <w:p w14:paraId="32BDF581" w14:textId="77777777" w:rsidR="004F3222" w:rsidRPr="00731E36" w:rsidRDefault="004F3222" w:rsidP="008A6F38">
      <w:pPr>
        <w:pStyle w:val="ListParagraph"/>
        <w:numPr>
          <w:ilvl w:val="0"/>
          <w:numId w:val="2"/>
        </w:numPr>
        <w:jc w:val="both"/>
      </w:pPr>
      <w:r w:rsidRPr="00731E36">
        <w:t>Établir un échantillon représentatif de grappes au niveau national et infranational, avec leurs cartes et leur population par âge et par sexe.</w:t>
      </w:r>
    </w:p>
    <w:p w14:paraId="041EBB88" w14:textId="77777777" w:rsidR="004F3222" w:rsidRPr="00731E36" w:rsidRDefault="004F3222" w:rsidP="008A6F38">
      <w:pPr>
        <w:pStyle w:val="ListParagraph"/>
        <w:numPr>
          <w:ilvl w:val="0"/>
          <w:numId w:val="2"/>
        </w:numPr>
        <w:jc w:val="both"/>
      </w:pPr>
      <w:r w:rsidRPr="00731E36">
        <w:t>La surveillance communautaire continue des issues de grossesse et des décès dans chaque cluster par un travailleur résident.</w:t>
      </w:r>
    </w:p>
    <w:p w14:paraId="60563BA7" w14:textId="77777777" w:rsidR="004F3222" w:rsidRPr="00731E36" w:rsidRDefault="004F3222" w:rsidP="008A6F38">
      <w:pPr>
        <w:pStyle w:val="ListParagraph"/>
        <w:numPr>
          <w:ilvl w:val="0"/>
          <w:numId w:val="2"/>
        </w:numPr>
        <w:jc w:val="both"/>
      </w:pPr>
      <w:r w:rsidRPr="00731E36">
        <w:t xml:space="preserve">La récupération rétrospective annuelle des données par le travailleur </w:t>
      </w:r>
      <w:proofErr w:type="gramStart"/>
      <w:r w:rsidRPr="00731E36">
        <w:t>résident</w:t>
      </w:r>
      <w:proofErr w:type="gramEnd"/>
      <w:r w:rsidRPr="00731E36">
        <w:t xml:space="preserve"> ou une équipe externe, ce qui implique une approche à double enregistrement.</w:t>
      </w:r>
    </w:p>
    <w:p w14:paraId="6F4D8BCF" w14:textId="77777777" w:rsidR="004F3222" w:rsidRPr="00731E36" w:rsidRDefault="004F3222" w:rsidP="008A6F38">
      <w:pPr>
        <w:pStyle w:val="ListParagraph"/>
        <w:numPr>
          <w:ilvl w:val="0"/>
          <w:numId w:val="2"/>
        </w:numPr>
        <w:jc w:val="both"/>
      </w:pPr>
      <w:r w:rsidRPr="00731E36">
        <w:t>Le suivi de tous les décès identifiés afin de mener des entretiens d'autopsie verbale et sociale pour déterminer la cause du décès.</w:t>
      </w:r>
    </w:p>
    <w:p w14:paraId="73642CDA" w14:textId="77777777" w:rsidR="004F3222" w:rsidRPr="00731E36" w:rsidRDefault="004F3222" w:rsidP="008A6F38">
      <w:pPr>
        <w:pStyle w:val="ListParagraph"/>
        <w:numPr>
          <w:ilvl w:val="0"/>
          <w:numId w:val="2"/>
        </w:numPr>
        <w:jc w:val="both"/>
      </w:pPr>
      <w:r w:rsidRPr="00731E36">
        <w:t>La mise à jour de la population du cluster tous les 2 à 3 ans.</w:t>
      </w:r>
    </w:p>
    <w:p w14:paraId="3E93F2D6" w14:textId="77777777" w:rsidR="004F3222" w:rsidRPr="00731E36" w:rsidRDefault="004F3222" w:rsidP="008A6F38">
      <w:pPr>
        <w:pStyle w:val="ListParagraph"/>
        <w:numPr>
          <w:ilvl w:val="0"/>
          <w:numId w:val="2"/>
        </w:numPr>
        <w:jc w:val="both"/>
      </w:pPr>
      <w:r w:rsidRPr="00731E36">
        <w:t>Mise en œuvre d'une solution numérique et informatique pour faciliter la collecte, l'analyse et la diffusion des données en temps réel.</w:t>
      </w:r>
    </w:p>
    <w:p w14:paraId="61D08C16" w14:textId="77777777" w:rsidR="004F3222" w:rsidRPr="00731E36" w:rsidRDefault="004F3222" w:rsidP="008A6F38">
      <w:pPr>
        <w:pStyle w:val="ListParagraph"/>
        <w:numPr>
          <w:ilvl w:val="0"/>
          <w:numId w:val="2"/>
        </w:numPr>
        <w:jc w:val="both"/>
      </w:pPr>
      <w:r w:rsidRPr="00731E36">
        <w:t>Élaboration de stratégies de liaison/intégration avec les systèmes de surveillance existants tels que le CRVS et le RHIS</w:t>
      </w:r>
    </w:p>
    <w:p w14:paraId="5F4AEBDD" w14:textId="1BD552A7" w:rsidR="004F3222" w:rsidRPr="00731E36" w:rsidRDefault="004F3222" w:rsidP="008A6F38">
      <w:pPr>
        <w:pStyle w:val="ListParagraph"/>
        <w:numPr>
          <w:ilvl w:val="0"/>
          <w:numId w:val="2"/>
        </w:numPr>
        <w:jc w:val="both"/>
      </w:pPr>
      <w:r w:rsidRPr="00731E36">
        <w:t>Dans la conception du SMSS, une stratégie visant à faciliter la liaison ou l'intégration avec le CRVS consiste à s'assurer que les formulaires de collecte de données sur les événements vitaux sont compatibles avec les formulaires du CRVS. La liaison de chaque cluster SMSS à un poste d'enregistrement civil administratif et à un établissement de santé désignés contribuera également à faciliter la liaison et le flux des données.</w:t>
      </w:r>
    </w:p>
    <w:p w14:paraId="68CFB021" w14:textId="7E7B45FC" w:rsidR="004F3222" w:rsidRDefault="004F3222" w:rsidP="004F3222">
      <w:pPr>
        <w:spacing w:after="0"/>
      </w:pPr>
    </w:p>
    <w:sectPr w:rsidR="004F3222" w:rsidSect="004F3222">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175F" w14:textId="77777777" w:rsidR="00402265" w:rsidRDefault="00402265" w:rsidP="004F3222">
      <w:pPr>
        <w:spacing w:after="0" w:line="240" w:lineRule="auto"/>
      </w:pPr>
      <w:r>
        <w:separator/>
      </w:r>
    </w:p>
  </w:endnote>
  <w:endnote w:type="continuationSeparator" w:id="0">
    <w:p w14:paraId="151A2152" w14:textId="77777777" w:rsidR="00402265" w:rsidRDefault="00402265" w:rsidP="004F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206549"/>
      <w:docPartObj>
        <w:docPartGallery w:val="Page Numbers (Bottom of Page)"/>
        <w:docPartUnique/>
      </w:docPartObj>
    </w:sdtPr>
    <w:sdtEndPr>
      <w:rPr>
        <w:i/>
        <w:iCs/>
        <w:noProof/>
        <w:color w:val="FF0000"/>
        <w:sz w:val="20"/>
        <w:szCs w:val="20"/>
      </w:rPr>
    </w:sdtEndPr>
    <w:sdtContent>
      <w:p w14:paraId="26D46315" w14:textId="77777777" w:rsidR="004F3222" w:rsidRPr="004F3222" w:rsidRDefault="004F3222" w:rsidP="5B8C5233">
        <w:pPr>
          <w:pStyle w:val="Footer"/>
          <w:jc w:val="center"/>
          <w:rPr>
            <w:noProof/>
            <w:sz w:val="22"/>
            <w:szCs w:val="22"/>
          </w:rPr>
        </w:pPr>
        <w:r w:rsidRPr="5B8C5233">
          <w:rPr>
            <w:sz w:val="22"/>
            <w:szCs w:val="22"/>
          </w:rPr>
          <w:fldChar w:fldCharType="begin"/>
        </w:r>
        <w:r w:rsidRPr="5B8C5233">
          <w:rPr>
            <w:sz w:val="22"/>
            <w:szCs w:val="22"/>
          </w:rPr>
          <w:instrText xml:space="preserve"> PAGE   \* MERGEFORMAT </w:instrText>
        </w:r>
        <w:r w:rsidRPr="5B8C5233">
          <w:rPr>
            <w:sz w:val="22"/>
            <w:szCs w:val="22"/>
          </w:rPr>
          <w:fldChar w:fldCharType="separate"/>
        </w:r>
        <w:r w:rsidR="5B8C5233" w:rsidRPr="5B8C5233">
          <w:rPr>
            <w:sz w:val="22"/>
            <w:szCs w:val="22"/>
          </w:rPr>
          <w:t>2</w:t>
        </w:r>
        <w:r w:rsidRPr="5B8C5233">
          <w:rPr>
            <w:sz w:val="22"/>
            <w:szCs w:val="22"/>
          </w:rPr>
          <w:fldChar w:fldCharType="end"/>
        </w:r>
      </w:p>
      <w:p w14:paraId="1E03AC0F" w14:textId="7E495414" w:rsidR="004F3222" w:rsidRPr="004F3222" w:rsidRDefault="5B8C5233" w:rsidP="5B8C5233">
        <w:pPr>
          <w:pStyle w:val="Footer"/>
          <w:rPr>
            <w:i/>
            <w:iCs/>
            <w:color w:val="FF0000"/>
            <w:sz w:val="20"/>
            <w:szCs w:val="20"/>
          </w:rPr>
        </w:pPr>
        <w:r w:rsidRPr="5B8C5233">
          <w:rPr>
            <w:i/>
            <w:iCs/>
            <w:color w:val="FF0000"/>
            <w:sz w:val="20"/>
            <w:szCs w:val="20"/>
          </w:rPr>
          <w:t>Version 1 – 12 mai 2025</w:t>
        </w:r>
        <w:r w:rsidR="004F3222">
          <w:tab/>
        </w:r>
        <w:r w:rsidR="004F3222">
          <w:tab/>
        </w:r>
        <w:r w:rsidRPr="5B8C5233">
          <w:rPr>
            <w:i/>
            <w:iCs/>
            <w:color w:val="FF0000"/>
            <w:sz w:val="20"/>
            <w:szCs w:val="20"/>
          </w:rPr>
          <w:t>s3_1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3B77" w14:textId="77777777" w:rsidR="00402265" w:rsidRDefault="00402265" w:rsidP="004F3222">
      <w:pPr>
        <w:spacing w:after="0" w:line="240" w:lineRule="auto"/>
      </w:pPr>
      <w:r>
        <w:separator/>
      </w:r>
    </w:p>
  </w:footnote>
  <w:footnote w:type="continuationSeparator" w:id="0">
    <w:p w14:paraId="2E26C55F" w14:textId="77777777" w:rsidR="00402265" w:rsidRDefault="00402265" w:rsidP="004F3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122A0"/>
    <w:multiLevelType w:val="hybridMultilevel"/>
    <w:tmpl w:val="B790AE7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1EA7FF6"/>
    <w:multiLevelType w:val="hybridMultilevel"/>
    <w:tmpl w:val="073E51D4"/>
    <w:lvl w:ilvl="0" w:tplc="C758281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385AD5"/>
    <w:multiLevelType w:val="hybridMultilevel"/>
    <w:tmpl w:val="B33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200787">
    <w:abstractNumId w:val="0"/>
  </w:num>
  <w:num w:numId="2" w16cid:durableId="1430614226">
    <w:abstractNumId w:val="2"/>
  </w:num>
  <w:num w:numId="3" w16cid:durableId="107524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22"/>
    <w:rsid w:val="0000754B"/>
    <w:rsid w:val="000B55B4"/>
    <w:rsid w:val="00227BB2"/>
    <w:rsid w:val="00336315"/>
    <w:rsid w:val="00402265"/>
    <w:rsid w:val="004926FE"/>
    <w:rsid w:val="004F3222"/>
    <w:rsid w:val="006F37D5"/>
    <w:rsid w:val="00731E36"/>
    <w:rsid w:val="00797ED9"/>
    <w:rsid w:val="008232AE"/>
    <w:rsid w:val="00825DDC"/>
    <w:rsid w:val="008A6F38"/>
    <w:rsid w:val="00971439"/>
    <w:rsid w:val="00A563CD"/>
    <w:rsid w:val="00A66D23"/>
    <w:rsid w:val="00B20A7E"/>
    <w:rsid w:val="00C510AF"/>
    <w:rsid w:val="00D942A1"/>
    <w:rsid w:val="00EA41F4"/>
    <w:rsid w:val="0182C558"/>
    <w:rsid w:val="120BFAAB"/>
    <w:rsid w:val="211F3C28"/>
    <w:rsid w:val="22C1DB29"/>
    <w:rsid w:val="384BFCD5"/>
    <w:rsid w:val="3A06DCA1"/>
    <w:rsid w:val="4323AA96"/>
    <w:rsid w:val="486DF10B"/>
    <w:rsid w:val="4C5F6894"/>
    <w:rsid w:val="53D55757"/>
    <w:rsid w:val="5B8C5233"/>
    <w:rsid w:val="5BE2B856"/>
    <w:rsid w:val="66B0054E"/>
    <w:rsid w:val="6761C2E2"/>
    <w:rsid w:val="6CEDD51A"/>
    <w:rsid w:val="76F8C138"/>
    <w:rsid w:val="7A80DF03"/>
    <w:rsid w:val="7D96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622A"/>
  <w15:chartTrackingRefBased/>
  <w15:docId w15:val="{C75B55F9-ADA8-45A5-B311-370A11F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8C5233"/>
    <w:rPr>
      <w:lang w:val="fr-FR"/>
    </w:rPr>
  </w:style>
  <w:style w:type="paragraph" w:styleId="Heading1">
    <w:name w:val="heading 1"/>
    <w:basedOn w:val="Normal"/>
    <w:next w:val="Normal"/>
    <w:link w:val="Heading1Char"/>
    <w:uiPriority w:val="9"/>
    <w:qFormat/>
    <w:rsid w:val="5B8C5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5B8C5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5B8C5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5B8C5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5B8C5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5B8C5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5B8C5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5B8C5233"/>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5B8C5233"/>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222"/>
    <w:rPr>
      <w:rFonts w:eastAsiaTheme="majorEastAsia" w:cstheme="majorBidi"/>
      <w:color w:val="272727" w:themeColor="text1" w:themeTint="D8"/>
    </w:rPr>
  </w:style>
  <w:style w:type="paragraph" w:styleId="Title">
    <w:name w:val="Title"/>
    <w:basedOn w:val="Normal"/>
    <w:next w:val="Normal"/>
    <w:link w:val="TitleChar"/>
    <w:uiPriority w:val="10"/>
    <w:qFormat/>
    <w:rsid w:val="5B8C5233"/>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4F3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5B8C5233"/>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4F3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5B8C5233"/>
    <w:pPr>
      <w:spacing w:before="160"/>
      <w:jc w:val="center"/>
    </w:pPr>
    <w:rPr>
      <w:i/>
      <w:iCs/>
      <w:color w:val="404040" w:themeColor="text1" w:themeTint="BF"/>
    </w:rPr>
  </w:style>
  <w:style w:type="character" w:customStyle="1" w:styleId="QuoteChar">
    <w:name w:val="Quote Char"/>
    <w:basedOn w:val="DefaultParagraphFont"/>
    <w:link w:val="Quote"/>
    <w:uiPriority w:val="29"/>
    <w:rsid w:val="004F3222"/>
    <w:rPr>
      <w:i/>
      <w:iCs/>
      <w:color w:val="404040" w:themeColor="text1" w:themeTint="BF"/>
    </w:rPr>
  </w:style>
  <w:style w:type="paragraph" w:styleId="ListParagraph">
    <w:name w:val="List Paragraph"/>
    <w:basedOn w:val="Normal"/>
    <w:uiPriority w:val="34"/>
    <w:qFormat/>
    <w:rsid w:val="5B8C5233"/>
    <w:pPr>
      <w:ind w:left="720"/>
      <w:contextualSpacing/>
    </w:pPr>
  </w:style>
  <w:style w:type="character" w:styleId="IntenseEmphasis">
    <w:name w:val="Intense Emphasis"/>
    <w:basedOn w:val="DefaultParagraphFont"/>
    <w:uiPriority w:val="21"/>
    <w:qFormat/>
    <w:rsid w:val="004F3222"/>
    <w:rPr>
      <w:i/>
      <w:iCs/>
      <w:color w:val="0F4761" w:themeColor="accent1" w:themeShade="BF"/>
    </w:rPr>
  </w:style>
  <w:style w:type="paragraph" w:styleId="IntenseQuote">
    <w:name w:val="Intense Quote"/>
    <w:basedOn w:val="Normal"/>
    <w:next w:val="Normal"/>
    <w:link w:val="IntenseQuoteChar"/>
    <w:uiPriority w:val="30"/>
    <w:qFormat/>
    <w:rsid w:val="5B8C5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222"/>
    <w:rPr>
      <w:i/>
      <w:iCs/>
      <w:color w:val="0F4761" w:themeColor="accent1" w:themeShade="BF"/>
    </w:rPr>
  </w:style>
  <w:style w:type="character" w:styleId="IntenseReference">
    <w:name w:val="Intense Reference"/>
    <w:basedOn w:val="DefaultParagraphFont"/>
    <w:uiPriority w:val="32"/>
    <w:qFormat/>
    <w:rsid w:val="004F3222"/>
    <w:rPr>
      <w:b/>
      <w:bCs/>
      <w:smallCaps/>
      <w:color w:val="0F4761" w:themeColor="accent1" w:themeShade="BF"/>
      <w:spacing w:val="5"/>
    </w:rPr>
  </w:style>
  <w:style w:type="paragraph" w:styleId="Header">
    <w:name w:val="header"/>
    <w:basedOn w:val="Normal"/>
    <w:link w:val="HeaderChar"/>
    <w:uiPriority w:val="99"/>
    <w:unhideWhenUsed/>
    <w:rsid w:val="5B8C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22"/>
  </w:style>
  <w:style w:type="paragraph" w:styleId="Footer">
    <w:name w:val="footer"/>
    <w:basedOn w:val="Normal"/>
    <w:link w:val="FooterChar"/>
    <w:uiPriority w:val="99"/>
    <w:unhideWhenUsed/>
    <w:rsid w:val="5B8C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2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1439"/>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1158</Words>
  <Characters>6799</Characters>
  <Application>Microsoft Office Word</Application>
  <DocSecurity>0</DocSecurity>
  <Lines>135</Lines>
  <Paragraphs>43</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Zack</dc:creator>
  <cp:keywords>, docId:233536F4DEDBA1F1EDC05820D69940ED</cp:keywords>
  <dc:description/>
  <cp:lastModifiedBy>Emma Williams</cp:lastModifiedBy>
  <cp:revision>11</cp:revision>
  <dcterms:created xsi:type="dcterms:W3CDTF">2025-05-12T12:18:00Z</dcterms:created>
  <dcterms:modified xsi:type="dcterms:W3CDTF">2026-02-17T19:44:00Z</dcterms:modified>
</cp:coreProperties>
</file>